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0061" w14:textId="61C0883B" w:rsidR="002D563D" w:rsidRPr="006C0014" w:rsidRDefault="006C0014" w:rsidP="00AE33AF">
      <w:pPr>
        <w:rPr>
          <w:b/>
          <w:bCs/>
        </w:rPr>
      </w:pPr>
      <w:r w:rsidRPr="006C0014">
        <w:rPr>
          <w:b/>
          <w:bCs/>
        </w:rPr>
        <w:t>Audit And Risk Committee Survey 2023</w:t>
      </w:r>
    </w:p>
    <w:p w14:paraId="236B9AE6" w14:textId="1EB552E3" w:rsidR="006C0014" w:rsidRDefault="006C0014" w:rsidP="00AE33AF">
      <w:r>
        <w:t>These are the results of the self-assessment survey.  All 5 members of the committee responded.</w:t>
      </w:r>
    </w:p>
    <w:p w14:paraId="5BABB059" w14:textId="63CA35D5" w:rsidR="006C0014" w:rsidRDefault="006C0014" w:rsidP="00AE33AF">
      <w:r>
        <w:rPr>
          <w:noProof/>
        </w:rPr>
        <w:drawing>
          <wp:inline distT="0" distB="0" distL="0" distR="0" wp14:anchorId="0B9F4CB1" wp14:editId="794DD7CC">
            <wp:extent cx="6585857" cy="4605338"/>
            <wp:effectExtent l="0" t="0" r="5715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043487B-424E-9CF9-003F-C34C9DC9D2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800804" w14:textId="3F1D58AA" w:rsidR="006C0014" w:rsidRDefault="006C0014" w:rsidP="00AE33AF">
      <w:r>
        <w:rPr>
          <w:noProof/>
        </w:rPr>
        <w:drawing>
          <wp:inline distT="0" distB="0" distL="0" distR="0" wp14:anchorId="741D57F3" wp14:editId="2E1A3984">
            <wp:extent cx="4149969" cy="2778369"/>
            <wp:effectExtent l="0" t="0" r="3175" b="31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7E8B862-B56E-EBA1-D236-A77F002980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F582F" w14:textId="4BEA3858" w:rsidR="006C0014" w:rsidRDefault="006C0014" w:rsidP="00AE33AF">
      <w:pPr>
        <w:rPr>
          <w:b/>
          <w:bCs/>
        </w:rPr>
      </w:pPr>
      <w:r w:rsidRPr="006C0014">
        <w:rPr>
          <w:b/>
          <w:bCs/>
        </w:rPr>
        <w:t>Comments</w:t>
      </w:r>
    </w:p>
    <w:p w14:paraId="02395CF6" w14:textId="77777777" w:rsidR="006C0014" w:rsidRPr="006C0014" w:rsidRDefault="006C0014" w:rsidP="006C0014">
      <w:p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6C0014">
        <w:rPr>
          <w:rFonts w:ascii="Calibri" w:eastAsia="Times New Roman" w:hAnsi="Calibri" w:cs="Calibri"/>
          <w:lang w:val="en-AU" w:eastAsia="en-AU"/>
        </w:rPr>
        <w:t xml:space="preserve">I think the ARC could do better in relation to identifying high risk areas for internal audit and not just rely on management to ascertain what internal audits are undertaken.   </w:t>
      </w:r>
    </w:p>
    <w:p w14:paraId="7380596A" w14:textId="77777777" w:rsidR="006C0014" w:rsidRPr="006C0014" w:rsidRDefault="006C0014" w:rsidP="00AE33AF">
      <w:pPr>
        <w:rPr>
          <w:b/>
          <w:bCs/>
        </w:rPr>
      </w:pPr>
    </w:p>
    <w:sectPr w:rsidR="006C0014" w:rsidRPr="006C0014" w:rsidSect="00F317B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14"/>
    <w:rsid w:val="002214AB"/>
    <w:rsid w:val="002D563D"/>
    <w:rsid w:val="002F5829"/>
    <w:rsid w:val="004D4094"/>
    <w:rsid w:val="00540A20"/>
    <w:rsid w:val="006C0014"/>
    <w:rsid w:val="007202F4"/>
    <w:rsid w:val="00977902"/>
    <w:rsid w:val="00AE33AF"/>
    <w:rsid w:val="00B01D83"/>
    <w:rsid w:val="00B21B41"/>
    <w:rsid w:val="00D66902"/>
    <w:rsid w:val="00E511B4"/>
    <w:rsid w:val="00F2209A"/>
    <w:rsid w:val="00F317B9"/>
    <w:rsid w:val="4E3BF881"/>
    <w:rsid w:val="73AD834B"/>
    <w:rsid w:val="7B8DF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9A3F"/>
  <w15:chartTrackingRefBased/>
  <w15:docId w15:val="{10D62A81-5266-456A-8284-DF46FBBA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4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B41"/>
    <w:pPr>
      <w:keepNext/>
      <w:keepLines/>
      <w:spacing w:before="240" w:after="0"/>
      <w:outlineLvl w:val="0"/>
    </w:pPr>
    <w:rPr>
      <w:rFonts w:eastAsiaTheme="majorEastAsia" w:cstheme="majorBidi"/>
      <w:b/>
      <w:color w:val="00788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2F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09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094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B41"/>
    <w:rPr>
      <w:rFonts w:ascii="Arial" w:eastAsiaTheme="majorEastAsia" w:hAnsi="Arial" w:cstheme="majorBidi"/>
      <w:b/>
      <w:color w:val="007881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0A20"/>
    <w:pPr>
      <w:spacing w:after="0" w:line="240" w:lineRule="auto"/>
      <w:contextualSpacing/>
    </w:pPr>
    <w:rPr>
      <w:rFonts w:eastAsiaTheme="majorEastAsia" w:cstheme="majorBidi"/>
      <w:b/>
      <w:color w:val="00788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A20"/>
    <w:rPr>
      <w:rFonts w:ascii="Arial" w:eastAsiaTheme="majorEastAsia" w:hAnsi="Arial" w:cstheme="majorBidi"/>
      <w:b/>
      <w:color w:val="007881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202F4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09A"/>
    <w:rPr>
      <w:rFonts w:ascii="Arial" w:eastAsiaTheme="majorEastAsia" w:hAnsi="Arial" w:cstheme="majorBidi"/>
      <w:b/>
      <w:szCs w:val="24"/>
    </w:rPr>
  </w:style>
  <w:style w:type="paragraph" w:styleId="NoSpacing">
    <w:name w:val="No Spacing"/>
    <w:uiPriority w:val="1"/>
    <w:qFormat/>
    <w:rsid w:val="00F2209A"/>
    <w:pPr>
      <w:spacing w:after="0" w:line="240" w:lineRule="auto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4D4094"/>
    <w:rPr>
      <w:rFonts w:ascii="Arial" w:eastAsiaTheme="majorEastAsia" w:hAnsi="Arial" w:cstheme="majorBidi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094"/>
    <w:pPr>
      <w:numPr>
        <w:ilvl w:val="1"/>
      </w:numPr>
    </w:pPr>
    <w:rPr>
      <w:b/>
      <w:i/>
      <w:color w:val="00788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4094"/>
    <w:rPr>
      <w:rFonts w:ascii="Arial" w:eastAsiaTheme="minorEastAsia" w:hAnsi="Arial"/>
      <w:b/>
      <w:i/>
      <w:color w:val="007881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ham.haylock\Downloads\Audit%20and%20Risk%20Committee%20surveys%20view%20%20elementOR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ham.haylock\Downloads\Audit%20and%20Risk%20Committee%20surveys%20view%20%20elementOR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ARC - Survey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Sheet1!$C$9:$N$9</c:f>
              <c:strCache>
                <c:ptCount val="12"/>
                <c:pt idx="0">
                  <c:v>Sufficient meetings</c:v>
                </c:pt>
                <c:pt idx="1">
                  <c:v>Accurate timely minutes</c:v>
                </c:pt>
                <c:pt idx="2">
                  <c:v>Agenda items actioned</c:v>
                </c:pt>
                <c:pt idx="3">
                  <c:v>Reporting obligations met</c:v>
                </c:pt>
                <c:pt idx="4">
                  <c:v>Financial reports reviewed</c:v>
                </c:pt>
                <c:pt idx="5">
                  <c:v>Audit recommendations reviewed</c:v>
                </c:pt>
                <c:pt idx="6">
                  <c:v>Accounting policy changes reviewed</c:v>
                </c:pt>
                <c:pt idx="7">
                  <c:v>Adequate control systems</c:v>
                </c:pt>
                <c:pt idx="8">
                  <c:v>Adequate risk monitoring</c:v>
                </c:pt>
                <c:pt idx="9">
                  <c:v>Business continuity assessed</c:v>
                </c:pt>
                <c:pt idx="10">
                  <c:v>Audit program high risk focused</c:v>
                </c:pt>
                <c:pt idx="11">
                  <c:v>Ability to instigate investigation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9-4B70-A6E9-F276738E3229}"/>
            </c:ext>
          </c:extLst>
        </c:ser>
        <c:ser>
          <c:idx val="1"/>
          <c:order val="1"/>
          <c:tx>
            <c:strRef>
              <c:f>Sheet1!$B$11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Sheet1!$C$9:$N$9</c:f>
              <c:strCache>
                <c:ptCount val="12"/>
                <c:pt idx="0">
                  <c:v>Sufficient meetings</c:v>
                </c:pt>
                <c:pt idx="1">
                  <c:v>Accurate timely minutes</c:v>
                </c:pt>
                <c:pt idx="2">
                  <c:v>Agenda items actioned</c:v>
                </c:pt>
                <c:pt idx="3">
                  <c:v>Reporting obligations met</c:v>
                </c:pt>
                <c:pt idx="4">
                  <c:v>Financial reports reviewed</c:v>
                </c:pt>
                <c:pt idx="5">
                  <c:v>Audit recommendations reviewed</c:v>
                </c:pt>
                <c:pt idx="6">
                  <c:v>Accounting policy changes reviewed</c:v>
                </c:pt>
                <c:pt idx="7">
                  <c:v>Adequate control systems</c:v>
                </c:pt>
                <c:pt idx="8">
                  <c:v>Adequate risk monitoring</c:v>
                </c:pt>
                <c:pt idx="9">
                  <c:v>Business continuity assessed</c:v>
                </c:pt>
                <c:pt idx="10">
                  <c:v>Audit program high risk focused</c:v>
                </c:pt>
                <c:pt idx="11">
                  <c:v>Ability to instigate investigation</c:v>
                </c:pt>
              </c:strCache>
            </c:strRef>
          </c:cat>
          <c:val>
            <c:numRef>
              <c:f>Sheet1!$C$11:$N$11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A9-4B70-A6E9-F276738E3229}"/>
            </c:ext>
          </c:extLst>
        </c:ser>
        <c:ser>
          <c:idx val="2"/>
          <c:order val="2"/>
          <c:tx>
            <c:strRef>
              <c:f>Sheet1!$B$12</c:f>
              <c:strCache>
                <c:ptCount val="1"/>
                <c:pt idx="0">
                  <c:v>Undecided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Sheet1!$C$9:$N$9</c:f>
              <c:strCache>
                <c:ptCount val="12"/>
                <c:pt idx="0">
                  <c:v>Sufficient meetings</c:v>
                </c:pt>
                <c:pt idx="1">
                  <c:v>Accurate timely minutes</c:v>
                </c:pt>
                <c:pt idx="2">
                  <c:v>Agenda items actioned</c:v>
                </c:pt>
                <c:pt idx="3">
                  <c:v>Reporting obligations met</c:v>
                </c:pt>
                <c:pt idx="4">
                  <c:v>Financial reports reviewed</c:v>
                </c:pt>
                <c:pt idx="5">
                  <c:v>Audit recommendations reviewed</c:v>
                </c:pt>
                <c:pt idx="6">
                  <c:v>Accounting policy changes reviewed</c:v>
                </c:pt>
                <c:pt idx="7">
                  <c:v>Adequate control systems</c:v>
                </c:pt>
                <c:pt idx="8">
                  <c:v>Adequate risk monitoring</c:v>
                </c:pt>
                <c:pt idx="9">
                  <c:v>Business continuity assessed</c:v>
                </c:pt>
                <c:pt idx="10">
                  <c:v>Audit program high risk focused</c:v>
                </c:pt>
                <c:pt idx="11">
                  <c:v>Ability to instigate investigation</c:v>
                </c:pt>
              </c:strCache>
            </c:strRef>
          </c:cat>
          <c:val>
            <c:numRef>
              <c:f>Sheet1!$C$12:$N$12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A9-4B70-A6E9-F276738E3229}"/>
            </c:ext>
          </c:extLst>
        </c:ser>
        <c:ser>
          <c:idx val="3"/>
          <c:order val="3"/>
          <c:tx>
            <c:strRef>
              <c:f>Sheet1!$B$13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Sheet1!$C$9:$N$9</c:f>
              <c:strCache>
                <c:ptCount val="12"/>
                <c:pt idx="0">
                  <c:v>Sufficient meetings</c:v>
                </c:pt>
                <c:pt idx="1">
                  <c:v>Accurate timely minutes</c:v>
                </c:pt>
                <c:pt idx="2">
                  <c:v>Agenda items actioned</c:v>
                </c:pt>
                <c:pt idx="3">
                  <c:v>Reporting obligations met</c:v>
                </c:pt>
                <c:pt idx="4">
                  <c:v>Financial reports reviewed</c:v>
                </c:pt>
                <c:pt idx="5">
                  <c:v>Audit recommendations reviewed</c:v>
                </c:pt>
                <c:pt idx="6">
                  <c:v>Accounting policy changes reviewed</c:v>
                </c:pt>
                <c:pt idx="7">
                  <c:v>Adequate control systems</c:v>
                </c:pt>
                <c:pt idx="8">
                  <c:v>Adequate risk monitoring</c:v>
                </c:pt>
                <c:pt idx="9">
                  <c:v>Business continuity assessed</c:v>
                </c:pt>
                <c:pt idx="10">
                  <c:v>Audit program high risk focused</c:v>
                </c:pt>
                <c:pt idx="11">
                  <c:v>Ability to instigate investigation</c:v>
                </c:pt>
              </c:strCache>
            </c:strRef>
          </c:cat>
          <c:val>
            <c:numRef>
              <c:f>Sheet1!$C$13:$N$13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A9-4B70-A6E9-F276738E3229}"/>
            </c:ext>
          </c:extLst>
        </c:ser>
        <c:ser>
          <c:idx val="4"/>
          <c:order val="4"/>
          <c:tx>
            <c:strRef>
              <c:f>Sheet1!$B$14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Sheet1!$C$9:$N$9</c:f>
              <c:strCache>
                <c:ptCount val="12"/>
                <c:pt idx="0">
                  <c:v>Sufficient meetings</c:v>
                </c:pt>
                <c:pt idx="1">
                  <c:v>Accurate timely minutes</c:v>
                </c:pt>
                <c:pt idx="2">
                  <c:v>Agenda items actioned</c:v>
                </c:pt>
                <c:pt idx="3">
                  <c:v>Reporting obligations met</c:v>
                </c:pt>
                <c:pt idx="4">
                  <c:v>Financial reports reviewed</c:v>
                </c:pt>
                <c:pt idx="5">
                  <c:v>Audit recommendations reviewed</c:v>
                </c:pt>
                <c:pt idx="6">
                  <c:v>Accounting policy changes reviewed</c:v>
                </c:pt>
                <c:pt idx="7">
                  <c:v>Adequate control systems</c:v>
                </c:pt>
                <c:pt idx="8">
                  <c:v>Adequate risk monitoring</c:v>
                </c:pt>
                <c:pt idx="9">
                  <c:v>Business continuity assessed</c:v>
                </c:pt>
                <c:pt idx="10">
                  <c:v>Audit program high risk focused</c:v>
                </c:pt>
                <c:pt idx="11">
                  <c:v>Ability to instigate investigation</c:v>
                </c:pt>
              </c:strCache>
            </c:strRef>
          </c:cat>
          <c:val>
            <c:numRef>
              <c:f>Sheet1!$C$14:$N$14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A9-4B70-A6E9-F276738E3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6069759"/>
        <c:axId val="1880931407"/>
      </c:barChart>
      <c:catAx>
        <c:axId val="174606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0931407"/>
        <c:crosses val="autoZero"/>
        <c:auto val="1"/>
        <c:lblAlgn val="ctr"/>
        <c:lblOffset val="100"/>
        <c:noMultiLvlLbl val="0"/>
      </c:catAx>
      <c:valAx>
        <c:axId val="1880931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606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Sheet1!$C$16</c:f>
              <c:strCache>
                <c:ptCount val="1"/>
                <c:pt idx="0">
                  <c:v>Biannual Audit and Risk Report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Sheet1!$B$17:$B$19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Unsure</c:v>
                </c:pt>
              </c:strCache>
            </c:strRef>
          </c:cat>
          <c:val>
            <c:numRef>
              <c:f>Sheet1!$C$17:$C$19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C-4FC5-8D93-6BA6E5E3C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7654719"/>
        <c:axId val="1702497775"/>
      </c:barChart>
      <c:catAx>
        <c:axId val="1967654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2497775"/>
        <c:crosses val="autoZero"/>
        <c:auto val="1"/>
        <c:lblAlgn val="ctr"/>
        <c:lblOffset val="100"/>
        <c:noMultiLvlLbl val="0"/>
      </c:catAx>
      <c:valAx>
        <c:axId val="1702497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76547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4CDC67F34A24B95D7B332F9A7CFF4" ma:contentTypeVersion="7" ma:contentTypeDescription="Create a new document." ma:contentTypeScope="" ma:versionID="c280703dc3e537fd297e4f82a76dc053">
  <xsd:schema xmlns:xsd="http://www.w3.org/2001/XMLSchema" xmlns:xs="http://www.w3.org/2001/XMLSchema" xmlns:p="http://schemas.microsoft.com/office/2006/metadata/properties" xmlns:ns2="0aa8b12b-7c9f-48a5-b1ce-4d36a9be1a41" xmlns:ns3="9fff0041-b2d5-4c9c-a1a9-b40173be83f3" targetNamespace="http://schemas.microsoft.com/office/2006/metadata/properties" ma:root="true" ma:fieldsID="3e6db413fb7d003fcad3d7414d013184" ns2:_="" ns3:_="">
    <xsd:import namespace="0aa8b12b-7c9f-48a5-b1ce-4d36a9be1a41"/>
    <xsd:import namespace="9fff0041-b2d5-4c9c-a1a9-b40173be8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8b12b-7c9f-48a5-b1ce-4d36a9be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041-b2d5-4c9c-a1a9-b40173be8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0D4EE2-BC91-4BA2-91CE-08E78B048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E3943-A585-4831-8C5D-50D9078A9CC0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fff0041-b2d5-4c9c-a1a9-b40173be83f3"/>
    <ds:schemaRef ds:uri="24501aba-5d7d-4728-98a1-8e4d8df53868"/>
  </ds:schemaRefs>
</ds:datastoreItem>
</file>

<file path=customXml/itemProps3.xml><?xml version="1.0" encoding="utf-8"?>
<ds:datastoreItem xmlns:ds="http://schemas.openxmlformats.org/officeDocument/2006/customXml" ds:itemID="{E47D3F41-69B1-4504-8744-0E610438AEBF}"/>
</file>

<file path=customXml/itemProps4.xml><?xml version="1.0" encoding="utf-8"?>
<ds:datastoreItem xmlns:ds="http://schemas.openxmlformats.org/officeDocument/2006/customXml" ds:itemID="{1F61BB00-1501-40F4-9095-F5F7499007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Haylock</dc:creator>
  <cp:keywords/>
  <dc:description/>
  <cp:lastModifiedBy>Graham Haylock</cp:lastModifiedBy>
  <cp:revision>1</cp:revision>
  <dcterms:created xsi:type="dcterms:W3CDTF">2023-09-07T03:40:00Z</dcterms:created>
  <dcterms:modified xsi:type="dcterms:W3CDTF">2023-09-07T03:44:00Z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0x0101001474CDC67F34A24B95D7B332F9A7CFF4</vt:lpwstr>
  </property>
  <property fmtid="{D5CDD505-2E9C-101B-9397-08002B2CF9AE}" pid="3" name="RevIMBCS">
    <vt:lpwstr/>
  </property>
  <property fmtid="{D5CDD505-2E9C-101B-9397-08002B2CF9AE}" pid="4" name="_dlc_DocIdItemGuid">
    <vt:lpwstr>0b7a0d20-8f2e-4959-be5b-dc7e94357718</vt:lpwstr>
  </property>
  <property fmtid="{D5CDD505-2E9C-101B-9397-08002B2CF9AE}" pid="5" name="Order">
    <vt:r8>61900</vt:r8>
  </property>
</Properties>
</file>